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</w:pPr>
      <w:r>
        <w:rPr>
          <w:rStyle w:val="3"/>
          <w:rFonts w:ascii="幼圆" w:hAnsi="幼圆" w:eastAsia="幼圆" w:cs="幼圆"/>
          <w:i w:val="0"/>
          <w:color w:val="FF0000"/>
          <w:sz w:val="30"/>
          <w:szCs w:val="30"/>
        </w:rPr>
        <w:t>关于201</w:t>
      </w:r>
      <w:r>
        <w:rPr>
          <w:rStyle w:val="3"/>
          <w:rFonts w:hint="eastAsia" w:ascii="幼圆" w:hAnsi="幼圆" w:eastAsia="幼圆" w:cs="幼圆"/>
          <w:i w:val="0"/>
          <w:color w:val="FF0000"/>
          <w:sz w:val="30"/>
          <w:szCs w:val="30"/>
          <w:lang w:val="en-US" w:eastAsia="zh-CN"/>
        </w:rPr>
        <w:t>7</w:t>
      </w:r>
      <w:r>
        <w:rPr>
          <w:rStyle w:val="3"/>
          <w:rFonts w:ascii="幼圆" w:hAnsi="幼圆" w:eastAsia="幼圆" w:cs="幼圆"/>
          <w:i w:val="0"/>
          <w:color w:val="FF0000"/>
          <w:sz w:val="30"/>
          <w:szCs w:val="30"/>
        </w:rPr>
        <w:t>届毕业生求职补贴对象公示</w:t>
      </w:r>
    </w:p>
    <w:p>
      <w:pPr>
        <w:ind w:firstLine="540"/>
        <w:rPr>
          <w:rFonts w:hint="eastAsia" w:ascii="宋体" w:hAnsi="宋体" w:eastAsia="宋体" w:cs="宋体"/>
          <w:i w:val="0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根据上海市人力资源和社会保障局、上海市教育委员会、上海市财政局《关于做好201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届高校毕业生求职补贴发放工作的通知》的相关规定，坚持自愿申请、公开公正的原则，现就我院201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届毕业生就业意愿积极并享城乡居民最低生活保障、残疾补贴及就读期间获得国家助学贷款的毕业生的求职补贴申请人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谢万安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等的情况予以公示。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公示对象：</w:t>
      </w:r>
    </w:p>
    <w:tbl>
      <w:tblPr>
        <w:tblStyle w:val="7"/>
        <w:tblW w:w="8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90"/>
        <w:gridCol w:w="450"/>
        <w:gridCol w:w="2381"/>
        <w:gridCol w:w="1365"/>
        <w:gridCol w:w="123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黑体" w:hAnsi="华文中宋" w:eastAsia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学生</w:t>
            </w:r>
          </w:p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450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2381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黑体" w:hAnsi="华文中宋" w:eastAsia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毕业</w:t>
            </w:r>
          </w:p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时间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黑体" w:hAnsi="华文中宋" w:eastAsia="黑体"/>
                <w:bCs/>
                <w:color w:val="auto"/>
                <w:sz w:val="22"/>
                <w:szCs w:val="22"/>
              </w:rPr>
              <w:t>入学前户籍所在地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谢万安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汽车电子技术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201401367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</w:rPr>
              <w:t>黄程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汽车电子技术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201401364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杨辉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汽车运用技术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201401512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古龙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汽车运用技术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201401517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李凯歌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汽车运用技术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201401510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高源骏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汽车电子技术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201401331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王赛赛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汽车电子技术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201401339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张皓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汽车技术服务与营销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201401445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许涛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汽车电子技术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201400326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饶婷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201401135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徐昕瑶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201401207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王欣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201401143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徐忍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201401105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戴罗成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201401122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刘思思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珠宝首饰工艺及鉴定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201400804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朋朋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汽车技术服务与营销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201401488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沈诚怡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应用英语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201400420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刘招祥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计算机网络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201401574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朱桦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通信技术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201400308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宋艳菁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计算机应用技术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201400260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b w:val="0"/>
                <w:bCs/>
                <w:color w:val="auto"/>
                <w:sz w:val="24"/>
              </w:rPr>
              <w:t>李豪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国际商务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201402241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赖泽琪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电子商务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201402206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向婷婷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国际商务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201402294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陈良友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电子商务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201402203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曾尚平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电子商务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201402227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徐新烨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电子商务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201402205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李琴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国际商务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201402248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黄维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201401971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王佳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201400037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李晨晨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201401903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李玲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201401877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宋维维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201402139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黎明寅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201401866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王梦雪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201400001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王燕芳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20140186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马秀芬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20140183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陈馨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会展策划与管理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201402031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王浩红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会计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201401981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吴选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会展策划与管理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20140199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auto"/>
                <w:sz w:val="24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李凯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201401658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石宇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201401649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蒋嘉杰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201400071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>李海蒂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宝玉石鉴定与加工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201400919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王晓茹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宝玉石鉴定与加工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201400998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江金瑾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宝玉石鉴定与加工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201400966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杜泽林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宝玉石鉴定与加工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201400999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薛运光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201401768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48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施嘉炜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201401725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49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刘梦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酒店管理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201402048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50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费惟红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酒店管理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201402044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梁思鸿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201402107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52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张卓雯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201300749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53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忻伟玲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201400056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54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宦逸萍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酒店管理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201400549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55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吴元易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201402111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杨子琦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机电一体化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201401778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57</w:t>
            </w:r>
          </w:p>
        </w:tc>
        <w:tc>
          <w:tcPr>
            <w:tcW w:w="99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吴璐</w:t>
            </w:r>
          </w:p>
        </w:tc>
        <w:tc>
          <w:tcPr>
            <w:tcW w:w="45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38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会展策划与管理</w:t>
            </w:r>
          </w:p>
        </w:tc>
        <w:tc>
          <w:tcPr>
            <w:tcW w:w="136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201402023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2017.06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山西</w:t>
            </w:r>
          </w:p>
        </w:tc>
      </w:tr>
    </w:tbl>
    <w:p>
      <w:pPr>
        <w:ind w:firstLine="540"/>
        <w:jc w:val="right"/>
        <w:rPr>
          <w:rFonts w:hint="eastAsia" w:ascii="宋体" w:hAnsi="宋体" w:eastAsia="宋体" w:cs="宋体"/>
          <w:i w:val="0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上海工商职业技术学院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                      招生就业办公室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br w:type="textWrapping"/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                       201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年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月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olor w:val="333333"/>
          <w:sz w:val="27"/>
          <w:szCs w:val="27"/>
        </w:rPr>
        <w:t>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5580A"/>
    <w:rsid w:val="16CF7F40"/>
    <w:rsid w:val="1C522B7E"/>
    <w:rsid w:val="466767FB"/>
    <w:rsid w:val="523F6A5A"/>
    <w:rsid w:val="67F65A71"/>
    <w:rsid w:val="6D35580A"/>
    <w:rsid w:val="7B2A0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sz w:val="19"/>
      <w:szCs w:val="19"/>
      <w:u w:val="none"/>
    </w:rPr>
  </w:style>
  <w:style w:type="character" w:styleId="5">
    <w:name w:val="Hyperlink"/>
    <w:basedOn w:val="2"/>
    <w:qFormat/>
    <w:uiPriority w:val="0"/>
    <w:rPr>
      <w:rFonts w:hint="eastAsia" w:ascii="宋体" w:hAnsi="宋体" w:eastAsia="宋体" w:cs="宋体"/>
      <w:color w:val="333333"/>
      <w:sz w:val="19"/>
      <w:szCs w:val="19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2017-05-04T00:23:00Z</dcterms:created>
  <dc:creator>zhw</dc:creator>
  <cp:lastModifiedBy>zhw</cp:lastModifiedBy>
  <cp:lastPrinted>2017-05-17T00:55:47Z</cp:lastPrinted>
  <dcterms:modified xsi:type="dcterms:W3CDTF">2017-05-17T03:58:32Z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